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283" w:rsidP="78CCD753" w:rsidRDefault="00AD23B6" w14:paraId="59E5376F" w14:noSpellErr="1" w14:textId="0BC18E1B">
      <w:pPr>
        <w:pStyle w:val="Normal"/>
        <w:jc w:val="center"/>
        <w:rPr>
          <w:b w:val="1"/>
          <w:bCs w:val="1"/>
          <w:u w:val="single"/>
        </w:rPr>
      </w:pPr>
      <w:r w:rsidRPr="78CCD753" w:rsidR="78CCD753">
        <w:rPr>
          <w:b w:val="1"/>
          <w:bCs w:val="1"/>
          <w:u w:val="single"/>
        </w:rPr>
        <w:t>Designated Safeguarding Officer Guidance</w:t>
      </w:r>
    </w:p>
    <w:p w:rsidRPr="00D67EEE" w:rsidR="007E54AD" w:rsidP="00D67EEE" w:rsidRDefault="00D67EEE" w14:paraId="4DB90AEF" w14:textId="530C574F">
      <w:pPr>
        <w:rPr>
          <w:b/>
        </w:rPr>
      </w:pPr>
      <w:r w:rsidRPr="00D67EEE">
        <w:rPr>
          <w:b/>
        </w:rPr>
        <w:t>1.</w:t>
      </w:r>
      <w:r>
        <w:rPr>
          <w:b/>
        </w:rPr>
        <w:t xml:space="preserve"> </w:t>
      </w:r>
      <w:r w:rsidRPr="00D67EEE" w:rsidR="00DD29F2">
        <w:rPr>
          <w:b/>
        </w:rPr>
        <w:t>What is Safeguarding?</w:t>
      </w:r>
    </w:p>
    <w:p w:rsidR="00F01DCB" w:rsidP="00D67EEE" w:rsidRDefault="00F01DCB" w14:paraId="4C5F8711" w14:textId="2BEA7D21">
      <w:proofErr w:type="gramStart"/>
      <w:r>
        <w:t>For the purpose of</w:t>
      </w:r>
      <w:proofErr w:type="gramEnd"/>
      <w:r>
        <w:t xml:space="preserve"> this guidance, safeguarding is defined as</w:t>
      </w:r>
      <w:r w:rsidR="00A877FA">
        <w:t xml:space="preserve"> p</w:t>
      </w:r>
      <w:r>
        <w:t>rotecting</w:t>
      </w:r>
      <w:r w:rsidR="005B53D5">
        <w:t xml:space="preserve"> </w:t>
      </w:r>
      <w:r w:rsidR="002B0019">
        <w:t xml:space="preserve">and promoting </w:t>
      </w:r>
      <w:r w:rsidR="005B53D5">
        <w:t>the health and wellbeing of</w:t>
      </w:r>
      <w:r>
        <w:t xml:space="preserve"> children, young people and vulnerable adults</w:t>
      </w:r>
      <w:r w:rsidR="005B53D5">
        <w:t xml:space="preserve">, enabling them to </w:t>
      </w:r>
      <w:r w:rsidR="006E4E56">
        <w:t xml:space="preserve">live </w:t>
      </w:r>
      <w:r w:rsidR="005B53D5">
        <w:t xml:space="preserve">free from abuse, neglect or </w:t>
      </w:r>
      <w:r w:rsidR="00362765">
        <w:t>exploitation</w:t>
      </w:r>
      <w:r w:rsidR="005B53D5">
        <w:t>.</w:t>
      </w:r>
    </w:p>
    <w:p w:rsidR="00FD4F6C" w:rsidP="00D67EEE" w:rsidRDefault="00FD4F6C" w14:paraId="361BC173" w14:textId="214D17DC">
      <w:r>
        <w:t>We all play a vital role in safeguarding our students, and as such, it is important you are aware of how to detect and report a safeguarding issue.</w:t>
      </w:r>
    </w:p>
    <w:p w:rsidR="00DD29F2" w:rsidP="00DD29F2" w:rsidRDefault="00717349" w14:paraId="785EC988" w14:textId="25D89C93">
      <w:pPr>
        <w:rPr>
          <w:b/>
        </w:rPr>
      </w:pPr>
      <w:r>
        <w:rPr>
          <w:b/>
        </w:rPr>
        <w:t xml:space="preserve">2. </w:t>
      </w:r>
      <w:r w:rsidRPr="00DD29F2" w:rsidR="00DD29F2">
        <w:rPr>
          <w:b/>
        </w:rPr>
        <w:t>What is Prevent?</w:t>
      </w:r>
    </w:p>
    <w:p w:rsidR="00AF15F8" w:rsidP="00AF15F8" w:rsidRDefault="00AF15F8" w14:paraId="2F23BE87" w14:textId="2513386E">
      <w:pPr>
        <w:spacing w:before="240" w:after="24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The duty to safeguard students from harm extends to preventing them from being drawn into extremism. This forms the statutory ‘Prevent duty’ (s.26 Counter Terrorism and Security Act 2015).</w:t>
      </w:r>
      <w:r w:rsidRPr="00EF3025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It is important to note that ‘extremism’ covers a broad spectrum of beliefs which may include far-left, far-right, environmental, Islamist, pro-life etc. Not all extreme views are illegal however, and it is only concerning when someone is at risk of committing violence or criminal activity.</w:t>
      </w:r>
    </w:p>
    <w:p w:rsidRPr="00DD29F2" w:rsidR="00AF15F8" w:rsidP="00DD29F2" w:rsidRDefault="00D86C3D" w14:paraId="01FB6C47" w14:textId="0E20E61A">
      <w:pPr>
        <w:rPr>
          <w:b/>
        </w:rPr>
      </w:pPr>
      <w:r>
        <w:rPr>
          <w:rFonts w:eastAsia="Times New Roman" w:cstheme="minorHAnsi"/>
          <w:lang w:eastAsia="en-GB"/>
        </w:rPr>
        <w:t xml:space="preserve">Further information and guidance about the </w:t>
      </w:r>
      <w:r w:rsidRPr="00D86C3D">
        <w:rPr>
          <w:rStyle w:val="Hyperlink"/>
          <w:rFonts w:eastAsia="Times New Roman" w:cstheme="minorHAnsi"/>
          <w:color w:val="auto"/>
          <w:u w:val="none"/>
          <w:lang w:eastAsia="en-GB"/>
        </w:rPr>
        <w:t>Statutory Prevent Duty Guidance</w:t>
      </w:r>
      <w:r w:rsidRPr="00D86C3D">
        <w:rPr>
          <w:rFonts w:eastAsia="Times New Roman" w:cstheme="minorHAnsi"/>
          <w:lang w:eastAsia="en-GB"/>
        </w:rPr>
        <w:t xml:space="preserve"> </w:t>
      </w:r>
      <w:r w:rsidRPr="008A4FCC">
        <w:rPr>
          <w:rFonts w:eastAsia="Times New Roman" w:cstheme="minorHAnsi"/>
          <w:lang w:eastAsia="en-GB"/>
        </w:rPr>
        <w:t xml:space="preserve">along with access to a Prevent e-learning training package </w:t>
      </w:r>
      <w:r>
        <w:rPr>
          <w:rFonts w:eastAsia="Times New Roman" w:cstheme="minorHAnsi"/>
          <w:lang w:eastAsia="en-GB"/>
        </w:rPr>
        <w:t>can be found via</w:t>
      </w:r>
      <w:r w:rsidRPr="008A4FCC">
        <w:rPr>
          <w:rFonts w:eastAsia="Times New Roman" w:cstheme="minorHAnsi"/>
          <w:lang w:eastAsia="en-GB"/>
        </w:rPr>
        <w:t xml:space="preserve"> the </w:t>
      </w:r>
      <w:r>
        <w:rPr>
          <w:rFonts w:eastAsia="Times New Roman" w:cstheme="minorHAnsi"/>
          <w:lang w:eastAsia="en-GB"/>
        </w:rPr>
        <w:t>following address:</w:t>
      </w:r>
      <w:r>
        <w:rPr>
          <w:rFonts w:eastAsia="Times New Roman" w:cstheme="minorHAnsi"/>
          <w:lang w:eastAsia="en-GB"/>
        </w:rPr>
        <w:br/>
      </w:r>
      <w:r>
        <w:rPr>
          <w:rFonts w:eastAsia="Times New Roman" w:cstheme="minorHAnsi"/>
          <w:lang w:eastAsia="en-GB"/>
        </w:rPr>
        <w:br/>
      </w:r>
      <w:r w:rsidRPr="008A4FCC">
        <w:rPr>
          <w:rStyle w:val="Hyperlink"/>
          <w:rFonts w:eastAsia="Times New Roman" w:cstheme="minorHAnsi"/>
          <w:lang w:eastAsia="en-GB"/>
        </w:rPr>
        <w:t>www.gov.uk/government/publications/prevent-duty-guidance</w:t>
      </w:r>
      <w:r w:rsidRPr="003803E4">
        <w:rPr>
          <w:rFonts w:eastAsia="Times New Roman" w:cstheme="minorHAnsi"/>
          <w:color w:val="333333"/>
          <w:lang w:eastAsia="en-GB"/>
        </w:rPr>
        <w:t xml:space="preserve"> </w:t>
      </w:r>
      <w:r>
        <w:rPr>
          <w:rFonts w:eastAsia="Times New Roman" w:cstheme="minorHAnsi"/>
          <w:color w:val="333333"/>
          <w:lang w:eastAsia="en-GB"/>
        </w:rPr>
        <w:br/>
      </w:r>
    </w:p>
    <w:p w:rsidRPr="007E54AD" w:rsidR="00927283" w:rsidP="00C55C89" w:rsidRDefault="00717349" w14:paraId="04904861" w14:textId="41638A6F">
      <w:pPr>
        <w:rPr>
          <w:b/>
        </w:rPr>
      </w:pPr>
      <w:r>
        <w:rPr>
          <w:b/>
        </w:rPr>
        <w:t xml:space="preserve">3. </w:t>
      </w:r>
      <w:r w:rsidRPr="007E54AD" w:rsidR="00927283">
        <w:rPr>
          <w:b/>
        </w:rPr>
        <w:t>Designated Safeguarding Officer</w:t>
      </w:r>
      <w:r>
        <w:rPr>
          <w:b/>
        </w:rPr>
        <w:t>s</w:t>
      </w:r>
      <w:r w:rsidR="006E4E56">
        <w:rPr>
          <w:b/>
        </w:rPr>
        <w:t xml:space="preserve"> (DSO)</w:t>
      </w:r>
    </w:p>
    <w:p w:rsidR="00BB7361" w:rsidP="00FF4C1C" w:rsidRDefault="00BB7361" w14:paraId="3AC778A5" w14:textId="1BF57732">
      <w:r>
        <w:t>The DSO</w:t>
      </w:r>
      <w:r w:rsidR="00FF4C1C">
        <w:t xml:space="preserve">s are the </w:t>
      </w:r>
      <w:r w:rsidRPr="00FD4F6C" w:rsidR="00FF4C1C">
        <w:rPr>
          <w:b/>
        </w:rPr>
        <w:t>first point of contact</w:t>
      </w:r>
      <w:r w:rsidR="00FF4C1C">
        <w:t xml:space="preserve"> for all staff and volunteers if they are concerned about a child, young person or vulnerable adult. They have a high</w:t>
      </w:r>
      <w:r w:rsidR="00717349">
        <w:t>er level of safeguarding knowledge than the rest of their colleagues and must have completed Level 3 Safeguarding training provided through an external agency.</w:t>
      </w:r>
    </w:p>
    <w:p w:rsidRPr="00717349" w:rsidR="00717349" w:rsidP="00FF4C1C" w:rsidRDefault="00717349" w14:paraId="15EF09FA" w14:textId="171D0D85">
      <w:pPr>
        <w:rPr>
          <w:b/>
        </w:rPr>
      </w:pPr>
      <w:r>
        <w:rPr>
          <w:b/>
        </w:rPr>
        <w:t xml:space="preserve">3.1 </w:t>
      </w:r>
      <w:r w:rsidRPr="00717349">
        <w:rPr>
          <w:b/>
        </w:rPr>
        <w:t>Roles and Responsibilities</w:t>
      </w:r>
    </w:p>
    <w:p w:rsidR="000D0642" w:rsidP="0067468D" w:rsidRDefault="000D0642" w14:paraId="559749FB" w14:textId="1AA1585C">
      <w:pPr>
        <w:pStyle w:val="ListParagraph"/>
        <w:numPr>
          <w:ilvl w:val="0"/>
          <w:numId w:val="9"/>
        </w:numPr>
      </w:pPr>
      <w:r w:rsidRPr="000D0642">
        <w:t xml:space="preserve">To act as a source of </w:t>
      </w:r>
      <w:r w:rsidRPr="00C76696">
        <w:rPr>
          <w:b/>
        </w:rPr>
        <w:t>support, advice</w:t>
      </w:r>
      <w:r w:rsidRPr="000D0642">
        <w:t xml:space="preserve"> and </w:t>
      </w:r>
      <w:r w:rsidRPr="00C76696">
        <w:rPr>
          <w:b/>
        </w:rPr>
        <w:t>expertise</w:t>
      </w:r>
      <w:r w:rsidRPr="000D0642">
        <w:t xml:space="preserve"> when staff or students have a concern about possible risk or harm. </w:t>
      </w:r>
    </w:p>
    <w:p w:rsidR="000F0E9B" w:rsidP="0067468D" w:rsidRDefault="000D0642" w14:paraId="05DB090E" w14:textId="77777777">
      <w:pPr>
        <w:pStyle w:val="ListParagraph"/>
        <w:numPr>
          <w:ilvl w:val="0"/>
          <w:numId w:val="9"/>
        </w:numPr>
      </w:pPr>
      <w:r w:rsidRPr="000D0642">
        <w:t>To</w:t>
      </w:r>
      <w:r w:rsidR="000203A8">
        <w:t xml:space="preserve"> make decisions about whether staff concerns are </w:t>
      </w:r>
      <w:proofErr w:type="gramStart"/>
      <w:r w:rsidR="000203A8">
        <w:t>sufficient</w:t>
      </w:r>
      <w:proofErr w:type="gramEnd"/>
      <w:r w:rsidR="000203A8">
        <w:t xml:space="preserve"> to </w:t>
      </w:r>
      <w:r w:rsidR="006D4F22">
        <w:t>notify Social Care Services, or whether other courses of action are more appropriate</w:t>
      </w:r>
      <w:r w:rsidR="009362CD">
        <w:t xml:space="preserve"> </w:t>
      </w:r>
      <w:r w:rsidR="00436C84">
        <w:t xml:space="preserve">– </w:t>
      </w:r>
    </w:p>
    <w:p w:rsidRPr="000F0E9B" w:rsidR="006D4F22" w:rsidP="000F0E9B" w:rsidRDefault="00436C84" w14:paraId="372CD7AE" w14:textId="7CEC379B">
      <w:pPr>
        <w:rPr>
          <w:b/>
        </w:rPr>
      </w:pPr>
      <w:r w:rsidRPr="000F0E9B">
        <w:rPr>
          <w:b/>
        </w:rPr>
        <w:t>HOWEVER,</w:t>
      </w:r>
      <w:r w:rsidRPr="000F0E9B" w:rsidR="009362CD">
        <w:rPr>
          <w:b/>
        </w:rPr>
        <w:t xml:space="preserve"> it is </w:t>
      </w:r>
      <w:r w:rsidRPr="000F0E9B" w:rsidR="009362CD">
        <w:rPr>
          <w:b/>
          <w:u w:val="double"/>
        </w:rPr>
        <w:t>not</w:t>
      </w:r>
      <w:r w:rsidRPr="000F0E9B" w:rsidR="009362CD">
        <w:rPr>
          <w:b/>
        </w:rPr>
        <w:t xml:space="preserve"> the responsibility of the DSO to decide whether </w:t>
      </w:r>
      <w:r w:rsidRPr="000F0E9B">
        <w:rPr>
          <w:b/>
        </w:rPr>
        <w:t>abuse has taken place or not</w:t>
      </w:r>
    </w:p>
    <w:p w:rsidR="00C05F0C" w:rsidP="0067468D" w:rsidRDefault="006D4F22" w14:paraId="6F9A5BB4" w14:textId="1689FE4D">
      <w:pPr>
        <w:pStyle w:val="ListParagraph"/>
        <w:numPr>
          <w:ilvl w:val="0"/>
          <w:numId w:val="9"/>
        </w:numPr>
      </w:pPr>
      <w:r>
        <w:t>To</w:t>
      </w:r>
      <w:r w:rsidRPr="000D0642" w:rsidR="000D0642">
        <w:t xml:space="preserve"> refer cases of suspected abuse or allegations </w:t>
      </w:r>
      <w:r w:rsidR="00C05F0C">
        <w:t>to external agencies, as per Safeguarding Policy</w:t>
      </w:r>
    </w:p>
    <w:p w:rsidR="00C05F0C" w:rsidP="0067468D" w:rsidRDefault="00C05F0C" w14:paraId="61CEA33D" w14:textId="5915C180">
      <w:pPr>
        <w:pStyle w:val="ListParagraph"/>
        <w:numPr>
          <w:ilvl w:val="0"/>
          <w:numId w:val="9"/>
        </w:numPr>
      </w:pPr>
      <w:r>
        <w:t xml:space="preserve">To inform the Safeguarding Officer and Principle Safeguarding </w:t>
      </w:r>
      <w:r w:rsidR="007E00BC">
        <w:t>Officer of referral to external agency</w:t>
      </w:r>
    </w:p>
    <w:p w:rsidR="000D0642" w:rsidP="0067468D" w:rsidRDefault="000D0642" w14:paraId="531933F6" w14:textId="3E61406D">
      <w:pPr>
        <w:pStyle w:val="ListParagraph"/>
        <w:numPr>
          <w:ilvl w:val="0"/>
          <w:numId w:val="9"/>
        </w:numPr>
      </w:pPr>
      <w:r w:rsidRPr="000D0642">
        <w:t>To refresh training where significant changes are made to policy/legislation</w:t>
      </w:r>
      <w:r w:rsidR="007E00BC">
        <w:t>, or every 2 years</w:t>
      </w:r>
      <w:r w:rsidR="000F0E9B">
        <w:t>.</w:t>
      </w:r>
    </w:p>
    <w:p w:rsidR="000D0642" w:rsidP="0067468D" w:rsidRDefault="000D0642" w14:paraId="581AFD42" w14:textId="77777777">
      <w:pPr>
        <w:pStyle w:val="ListParagraph"/>
        <w:numPr>
          <w:ilvl w:val="0"/>
          <w:numId w:val="9"/>
        </w:numPr>
      </w:pPr>
      <w:r w:rsidRPr="000D0642">
        <w:t xml:space="preserve">To support the delivery of the staff awareness raising programme, ensuring staff in their faculty or service are aware of the policy and procedure and their operation. </w:t>
      </w:r>
    </w:p>
    <w:p w:rsidR="00C55C89" w:rsidP="0067468D" w:rsidRDefault="000D0642" w14:paraId="159E2434" w14:textId="68384012">
      <w:pPr>
        <w:pStyle w:val="ListParagraph"/>
        <w:numPr>
          <w:ilvl w:val="0"/>
          <w:numId w:val="9"/>
        </w:numPr>
      </w:pPr>
      <w:r>
        <w:lastRenderedPageBreak/>
        <w:t>T</w:t>
      </w:r>
      <w:r w:rsidRPr="000D0642">
        <w:t>o keep detailed, accurate, secure and written records of any concerns raised and their outcomes if known.</w:t>
      </w:r>
      <w:r w:rsidR="00C55C89">
        <w:t xml:space="preserve"> </w:t>
      </w:r>
    </w:p>
    <w:p w:rsidR="00C14847" w:rsidP="0067468D" w:rsidRDefault="00C14847" w14:paraId="50FEEB53" w14:textId="569136F0">
      <w:pPr>
        <w:pStyle w:val="ListParagraph"/>
        <w:numPr>
          <w:ilvl w:val="0"/>
          <w:numId w:val="9"/>
        </w:numPr>
      </w:pPr>
      <w:r>
        <w:t>Ensuring that these concerns are logged and stored securely in accordance with Data Protection</w:t>
      </w:r>
      <w:r w:rsidR="00457264">
        <w:t xml:space="preserve"> and GDPR</w:t>
      </w:r>
      <w:r>
        <w:t xml:space="preserve"> regulations.</w:t>
      </w:r>
    </w:p>
    <w:p w:rsidR="00594397" w:rsidP="0067468D" w:rsidRDefault="00594397" w14:paraId="02CCAAB2" w14:textId="7652A524">
      <w:pPr>
        <w:pStyle w:val="ListParagraph"/>
        <w:numPr>
          <w:ilvl w:val="0"/>
          <w:numId w:val="9"/>
        </w:numPr>
      </w:pPr>
      <w:r>
        <w:t xml:space="preserve">Ensure </w:t>
      </w:r>
      <w:r w:rsidRPr="00464D11" w:rsidR="00464D11">
        <w:t xml:space="preserve">additional safeguarding practices and procedures are in place in relation to their </w:t>
      </w:r>
      <w:proofErr w:type="gramStart"/>
      <w:r w:rsidRPr="00464D11" w:rsidR="00464D11">
        <w:t>particular area</w:t>
      </w:r>
      <w:proofErr w:type="gramEnd"/>
      <w:r w:rsidRPr="00464D11" w:rsidR="00464D11">
        <w:t xml:space="preserve"> of work (if required)</w:t>
      </w:r>
      <w:r w:rsidR="00464D11">
        <w:t>.</w:t>
      </w:r>
    </w:p>
    <w:p w:rsidR="00AE4AEB" w:rsidP="0067468D" w:rsidRDefault="00AE4AEB" w14:paraId="62CC325B" w14:textId="46ED8E2A">
      <w:pPr>
        <w:pStyle w:val="ListParagraph"/>
        <w:numPr>
          <w:ilvl w:val="0"/>
          <w:numId w:val="9"/>
        </w:numPr>
      </w:pPr>
      <w:r>
        <w:t xml:space="preserve">Highlight and champion </w:t>
      </w:r>
      <w:r w:rsidR="00F33C45">
        <w:t>best practice relating to safeguarding and Prevent</w:t>
      </w:r>
    </w:p>
    <w:p w:rsidR="006D4F22" w:rsidP="0067468D" w:rsidRDefault="006D4F22" w14:paraId="2273B1F5" w14:textId="2C6D1A0B">
      <w:pPr>
        <w:pStyle w:val="ListParagraph"/>
        <w:numPr>
          <w:ilvl w:val="0"/>
          <w:numId w:val="9"/>
        </w:numPr>
      </w:pPr>
      <w:r>
        <w:t xml:space="preserve">To promote a safe environment for </w:t>
      </w:r>
      <w:r w:rsidR="009362CD">
        <w:t>children, young people</w:t>
      </w:r>
      <w:r w:rsidR="00436C84">
        <w:t xml:space="preserve"> and vulnerable adults</w:t>
      </w:r>
      <w:r w:rsidR="00C14847">
        <w:t>.</w:t>
      </w:r>
    </w:p>
    <w:p w:rsidR="00C6284C" w:rsidP="008C5A77" w:rsidRDefault="008C5A77" w14:paraId="708CE3BF" w14:textId="644ED030">
      <w:pPr>
        <w:pStyle w:val="ListParagraph"/>
        <w:numPr>
          <w:ilvl w:val="0"/>
          <w:numId w:val="9"/>
        </w:numPr>
      </w:pPr>
      <w:r w:rsidRPr="008C5A77">
        <w:t>Ensure that they support and promote the values of democracy, rule of law and mutual respect and tolerance of those with different faiths or beliefs.</w:t>
      </w:r>
    </w:p>
    <w:p w:rsidRPr="007E54AD" w:rsidR="00AD23B6" w:rsidRDefault="00717349" w14:paraId="6EDF91EA" w14:textId="61EB4FEC">
      <w:pPr>
        <w:rPr>
          <w:b/>
        </w:rPr>
      </w:pPr>
      <w:r>
        <w:rPr>
          <w:b/>
        </w:rPr>
        <w:t xml:space="preserve">3.2 </w:t>
      </w:r>
      <w:r w:rsidRPr="007E54AD" w:rsidR="00C55C89">
        <w:rPr>
          <w:b/>
        </w:rPr>
        <w:t xml:space="preserve">Requirements of Designated Safeguarding </w:t>
      </w:r>
      <w:proofErr w:type="gramStart"/>
      <w:r w:rsidRPr="007E54AD" w:rsidR="00C55C89">
        <w:rPr>
          <w:b/>
        </w:rPr>
        <w:t>Officer</w:t>
      </w:r>
      <w:r w:rsidR="007E54AD">
        <w:rPr>
          <w:b/>
        </w:rPr>
        <w:t>:-</w:t>
      </w:r>
      <w:proofErr w:type="gramEnd"/>
      <w:r w:rsidR="007E54AD">
        <w:rPr>
          <w:b/>
        </w:rPr>
        <w:t xml:space="preserve"> </w:t>
      </w:r>
    </w:p>
    <w:p w:rsidR="00C55C89" w:rsidP="0067468D" w:rsidRDefault="00C55C89" w14:paraId="11EDB299" w14:textId="22C2A150">
      <w:pPr>
        <w:pStyle w:val="ListParagraph"/>
        <w:numPr>
          <w:ilvl w:val="0"/>
          <w:numId w:val="10"/>
        </w:numPr>
      </w:pPr>
      <w:r>
        <w:t>To undertake advanced</w:t>
      </w:r>
      <w:r w:rsidR="00717349">
        <w:t xml:space="preserve"> (Level 3) </w:t>
      </w:r>
      <w:r>
        <w:t xml:space="preserve">training in child and vulnerable adult </w:t>
      </w:r>
      <w:r w:rsidR="000A244A">
        <w:t>safeguarding</w:t>
      </w:r>
      <w:r w:rsidR="00435856">
        <w:t xml:space="preserve"> </w:t>
      </w:r>
      <w:r w:rsidR="00234787">
        <w:t>by an external provider</w:t>
      </w:r>
      <w:r w:rsidR="006E4E56">
        <w:t>.</w:t>
      </w:r>
    </w:p>
    <w:p w:rsidR="00BD79E3" w:rsidP="0067468D" w:rsidRDefault="00BD79E3" w14:paraId="33B6993C" w14:textId="1FB33D80">
      <w:pPr>
        <w:pStyle w:val="ListParagraph"/>
        <w:numPr>
          <w:ilvl w:val="0"/>
          <w:numId w:val="10"/>
        </w:numPr>
      </w:pPr>
      <w:r>
        <w:t>To undertake refresher training every 2 years, or as necessary</w:t>
      </w:r>
      <w:r w:rsidR="006E4E56">
        <w:t>.</w:t>
      </w:r>
    </w:p>
    <w:p w:rsidR="00234787" w:rsidP="0067468D" w:rsidRDefault="00BD79E3" w14:paraId="37170357" w14:textId="3A4B1D42">
      <w:pPr>
        <w:pStyle w:val="ListParagraph"/>
        <w:numPr>
          <w:ilvl w:val="0"/>
          <w:numId w:val="10"/>
        </w:numPr>
      </w:pPr>
      <w:r>
        <w:t>Willing to k</w:t>
      </w:r>
      <w:r w:rsidR="00234787">
        <w:t xml:space="preserve">eep </w:t>
      </w:r>
      <w:r>
        <w:t>up to date with safeguarding developments</w:t>
      </w:r>
      <w:r w:rsidR="006E4E56">
        <w:t>.</w:t>
      </w:r>
    </w:p>
    <w:p w:rsidR="00C55C89" w:rsidP="0067468D" w:rsidRDefault="00BD79E3" w14:paraId="66E96355" w14:textId="6EAE4AEF">
      <w:pPr>
        <w:pStyle w:val="ListParagraph"/>
        <w:numPr>
          <w:ilvl w:val="0"/>
          <w:numId w:val="10"/>
        </w:numPr>
      </w:pPr>
      <w:r>
        <w:t xml:space="preserve">To </w:t>
      </w:r>
      <w:r w:rsidR="00234787">
        <w:t>take responsibility</w:t>
      </w:r>
      <w:r>
        <w:t xml:space="preserve"> for </w:t>
      </w:r>
      <w:r w:rsidR="008C1876">
        <w:t>the recording of all safeguarding issues arising</w:t>
      </w:r>
      <w:r w:rsidR="006E4E56">
        <w:t>.</w:t>
      </w:r>
      <w:r w:rsidR="00464D11">
        <w:t xml:space="preserve"> </w:t>
      </w:r>
      <w:r w:rsidR="008C1876">
        <w:t xml:space="preserve"> </w:t>
      </w:r>
    </w:p>
    <w:p w:rsidR="00717349" w:rsidP="0070413D" w:rsidRDefault="00717349" w14:paraId="1DE30203" w14:textId="14ADC76B">
      <w:pPr>
        <w:rPr>
          <w:b/>
        </w:rPr>
      </w:pPr>
      <w:r>
        <w:rPr>
          <w:b/>
        </w:rPr>
        <w:t xml:space="preserve">4. Recognising </w:t>
      </w:r>
      <w:r w:rsidR="00E330C8">
        <w:rPr>
          <w:b/>
        </w:rPr>
        <w:t>Safeguarding Concerns and Reporting</w:t>
      </w:r>
    </w:p>
    <w:p w:rsidR="0070413D" w:rsidP="0070413D" w:rsidRDefault="0070413D" w14:paraId="6C39777F" w14:textId="44DCE882">
      <w:pPr>
        <w:rPr>
          <w:b/>
        </w:rPr>
      </w:pPr>
      <w:r w:rsidRPr="0070413D">
        <w:rPr>
          <w:b/>
        </w:rPr>
        <w:t>Recognising Emergency Situations</w:t>
      </w:r>
    </w:p>
    <w:p w:rsidR="003374FC" w:rsidP="0070413D" w:rsidRDefault="003374FC" w14:paraId="217DE116" w14:textId="0E540920">
      <w:r>
        <w:t xml:space="preserve">Deciding whether a situation is an emergency is a matter of </w:t>
      </w:r>
      <w:r w:rsidR="006C48C9">
        <w:t xml:space="preserve">individual judgment. If you have reasonable grounds to believe that </w:t>
      </w:r>
      <w:r w:rsidR="000049FA">
        <w:t>someone is either at risk to themselves, or others, or they are in immediate danger, you should take the following steps:</w:t>
      </w:r>
    </w:p>
    <w:p w:rsidR="000049FA" w:rsidP="00C6435D" w:rsidRDefault="00C6435D" w14:paraId="48EEC3F3" w14:textId="19A7B54F">
      <w:pPr>
        <w:pStyle w:val="ListParagraph"/>
        <w:numPr>
          <w:ilvl w:val="0"/>
          <w:numId w:val="7"/>
        </w:numPr>
      </w:pPr>
      <w:r>
        <w:t xml:space="preserve">Contact the </w:t>
      </w:r>
      <w:r w:rsidR="00506C1A">
        <w:rPr>
          <w:b/>
        </w:rPr>
        <w:t>E</w:t>
      </w:r>
      <w:r w:rsidRPr="00506C1A">
        <w:rPr>
          <w:b/>
        </w:rPr>
        <w:t xml:space="preserve">mergency </w:t>
      </w:r>
      <w:r w:rsidR="00506C1A">
        <w:rPr>
          <w:b/>
        </w:rPr>
        <w:t>S</w:t>
      </w:r>
      <w:r w:rsidRPr="00506C1A">
        <w:rPr>
          <w:b/>
        </w:rPr>
        <w:t>ervices</w:t>
      </w:r>
      <w:r>
        <w:t xml:space="preserve"> (ambulance or police as necessary) on 999</w:t>
      </w:r>
    </w:p>
    <w:p w:rsidRPr="003374FC" w:rsidR="00C6435D" w:rsidP="00C6435D" w:rsidRDefault="00506C1A" w14:paraId="3FAA45CB" w14:textId="612D1AE3">
      <w:pPr>
        <w:pStyle w:val="ListParagraph"/>
        <w:numPr>
          <w:ilvl w:val="0"/>
          <w:numId w:val="7"/>
        </w:numPr>
      </w:pPr>
      <w:r>
        <w:t>Then c</w:t>
      </w:r>
      <w:r w:rsidR="00C6435D">
        <w:t xml:space="preserve">ontact </w:t>
      </w:r>
      <w:r w:rsidRPr="00506C1A" w:rsidR="00C6435D">
        <w:rPr>
          <w:b/>
        </w:rPr>
        <w:t>Security</w:t>
      </w:r>
      <w:r w:rsidR="00C6435D">
        <w:t xml:space="preserve"> on 5</w:t>
      </w:r>
      <w:r w:rsidR="00805C10">
        <w:t>5333 to notify them of the situation</w:t>
      </w:r>
    </w:p>
    <w:p w:rsidR="00073136" w:rsidRDefault="00073136" w14:paraId="690B6BFE" w14:textId="611A3129">
      <w:pPr>
        <w:rPr>
          <w:b/>
        </w:rPr>
      </w:pPr>
      <w:r>
        <w:rPr>
          <w:b/>
        </w:rPr>
        <w:t xml:space="preserve">As Designated Safeguarding Officers, </w:t>
      </w:r>
      <w:r>
        <w:t xml:space="preserve">you have a duty to </w:t>
      </w:r>
      <w:r>
        <w:rPr>
          <w:b/>
        </w:rPr>
        <w:t xml:space="preserve">NOTICE, CHECK </w:t>
      </w:r>
      <w:r w:rsidRPr="005F617E">
        <w:t xml:space="preserve">and </w:t>
      </w:r>
      <w:r>
        <w:rPr>
          <w:b/>
        </w:rPr>
        <w:t>SHARE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5F617E" w:rsidTr="5BAE77DC" w14:paraId="60BAC53B" w14:textId="77777777">
        <w:tc>
          <w:tcPr>
            <w:tcW w:w="2122" w:type="dxa"/>
          </w:tcPr>
          <w:p w:rsidRPr="00BE34BC" w:rsidR="005F617E" w:rsidRDefault="00BE34BC" w14:paraId="4CCD5DBC" w14:textId="6C6A96C5">
            <w:pPr>
              <w:rPr>
                <w:b/>
                <w:sz w:val="28"/>
              </w:rPr>
            </w:pPr>
            <w:r w:rsidRPr="00BE34BC">
              <w:rPr>
                <w:rFonts w:ascii="Segoe UI Symbol" w:hAnsi="Segoe UI Symbol"/>
                <w:b/>
                <w:sz w:val="28"/>
              </w:rPr>
              <w:t>✔</w:t>
            </w:r>
            <w:r w:rsidRPr="00BE34BC">
              <w:rPr>
                <w:b/>
                <w:sz w:val="28"/>
              </w:rPr>
              <w:t xml:space="preserve"> </w:t>
            </w:r>
            <w:r w:rsidRPr="00BE34BC" w:rsidR="005F617E">
              <w:rPr>
                <w:b/>
                <w:sz w:val="28"/>
              </w:rPr>
              <w:t>NOTICE</w:t>
            </w:r>
          </w:p>
        </w:tc>
        <w:tc>
          <w:tcPr>
            <w:tcW w:w="6894" w:type="dxa"/>
          </w:tcPr>
          <w:p w:rsidR="005F617E" w:rsidRDefault="00E85FB7" w14:paraId="33466B88" w14:textId="77777777">
            <w:pPr>
              <w:rPr>
                <w:i/>
              </w:rPr>
            </w:pPr>
            <w:r w:rsidRPr="00E85FB7">
              <w:rPr>
                <w:i/>
              </w:rPr>
              <w:t xml:space="preserve">You may notice that a student or </w:t>
            </w:r>
            <w:r w:rsidR="007B0B83">
              <w:rPr>
                <w:i/>
              </w:rPr>
              <w:t xml:space="preserve">another </w:t>
            </w:r>
            <w:r w:rsidRPr="00E85FB7">
              <w:rPr>
                <w:i/>
              </w:rPr>
              <w:t>staff</w:t>
            </w:r>
            <w:r w:rsidR="007B0B83">
              <w:rPr>
                <w:i/>
              </w:rPr>
              <w:t xml:space="preserve"> member</w:t>
            </w:r>
            <w:r w:rsidRPr="00E85FB7">
              <w:rPr>
                <w:i/>
              </w:rPr>
              <w:t>’s behaviour gives you cause for concern…</w:t>
            </w:r>
          </w:p>
          <w:p w:rsidRPr="00E85FB7" w:rsidR="00EC334F" w:rsidRDefault="00EC334F" w14:paraId="7D91E2E7" w14:textId="28D94C07">
            <w:pPr>
              <w:rPr>
                <w:i/>
              </w:rPr>
            </w:pPr>
          </w:p>
        </w:tc>
      </w:tr>
      <w:tr w:rsidR="00DE690B" w:rsidTr="5BAE77DC" w14:paraId="6CEFB39E" w14:textId="77777777">
        <w:tc>
          <w:tcPr>
            <w:tcW w:w="9016" w:type="dxa"/>
            <w:gridSpan w:val="2"/>
          </w:tcPr>
          <w:p w:rsidRPr="00D92D41" w:rsidR="003717B8" w:rsidP="003717B8" w:rsidRDefault="003717B8" w14:paraId="1FF3ABA8" w14:textId="77777777">
            <w:r w:rsidRPr="00D92D41">
              <w:t>You might consider whether someone is being harmed or abused because:</w:t>
            </w:r>
          </w:p>
          <w:p w:rsidR="003717B8" w:rsidP="003717B8" w:rsidRDefault="003717B8" w14:paraId="620D0008" w14:textId="77777777">
            <w:pPr>
              <w:rPr>
                <w:b/>
              </w:rPr>
            </w:pPr>
          </w:p>
          <w:p w:rsidR="003717B8" w:rsidP="003717B8" w:rsidRDefault="003717B8" w14:paraId="27C70EFF" w14:textId="00AD1905">
            <w:pPr>
              <w:pStyle w:val="ListParagraph"/>
              <w:numPr>
                <w:ilvl w:val="0"/>
                <w:numId w:val="6"/>
              </w:numPr>
            </w:pPr>
            <w:r w:rsidRPr="003717B8">
              <w:t>You see or hear extreme changes in behaviour</w:t>
            </w:r>
            <w:r w:rsidR="007B632E">
              <w:t>;</w:t>
            </w:r>
          </w:p>
          <w:p w:rsidR="007B632E" w:rsidP="003717B8" w:rsidRDefault="005B2750" w14:paraId="0BA594A9" w14:textId="5BEE477A">
            <w:pPr>
              <w:pStyle w:val="ListParagraph"/>
              <w:numPr>
                <w:ilvl w:val="0"/>
                <w:numId w:val="6"/>
              </w:numPr>
            </w:pPr>
            <w:r>
              <w:t>You may see or hear expressions of suicidal intent;</w:t>
            </w:r>
          </w:p>
          <w:p w:rsidR="005B2750" w:rsidP="003717B8" w:rsidRDefault="000D0B2B" w14:paraId="5F38FB3F" w14:textId="6D91EF6A">
            <w:pPr>
              <w:pStyle w:val="ListParagraph"/>
              <w:numPr>
                <w:ilvl w:val="0"/>
                <w:numId w:val="6"/>
              </w:numPr>
            </w:pPr>
            <w:r>
              <w:t>Someone discloses to you that there could be abuse;</w:t>
            </w:r>
          </w:p>
          <w:p w:rsidR="00373048" w:rsidP="00FD455A" w:rsidRDefault="00FD455A" w14:paraId="47017704" w14:textId="77777777">
            <w:pPr>
              <w:pStyle w:val="ListParagraph"/>
              <w:numPr>
                <w:ilvl w:val="0"/>
                <w:numId w:val="6"/>
              </w:numPr>
            </w:pPr>
            <w:r>
              <w:t>You see or hear something that could constitute abuse</w:t>
            </w:r>
            <w:r w:rsidR="00373048">
              <w:t>;</w:t>
            </w:r>
          </w:p>
          <w:p w:rsidR="00FD455A" w:rsidP="00FD455A" w:rsidRDefault="00373048" w14:paraId="390F000D" w14:textId="627541A4">
            <w:pPr>
              <w:pStyle w:val="ListParagraph"/>
              <w:numPr>
                <w:ilvl w:val="0"/>
                <w:numId w:val="6"/>
              </w:numPr>
            </w:pPr>
            <w:r>
              <w:t>Someone tells you something is happening or happened to them that could constitute abuse</w:t>
            </w:r>
            <w:r w:rsidR="00FD455A">
              <w:t>.</w:t>
            </w:r>
          </w:p>
          <w:p w:rsidR="00FD455A" w:rsidP="00FD455A" w:rsidRDefault="00FD455A" w14:paraId="7B085CD4" w14:textId="2D5D406B"/>
          <w:p w:rsidR="00FD455A" w:rsidP="00FD455A" w:rsidRDefault="00AA6C42" w14:paraId="6D7D1140" w14:textId="6490385C">
            <w:r>
              <w:t>Other factors which may be a cause for concern include</w:t>
            </w:r>
            <w:r w:rsidR="00FD455A">
              <w:t>:</w:t>
            </w:r>
          </w:p>
          <w:p w:rsidR="00FD455A" w:rsidP="00FD455A" w:rsidRDefault="00FD455A" w14:paraId="29D67E4F" w14:textId="24B865AE"/>
          <w:p w:rsidR="00FD455A" w:rsidP="00FD455A" w:rsidRDefault="00FD455A" w14:paraId="51219AE7" w14:textId="79E47EBC">
            <w:pPr>
              <w:pStyle w:val="ListParagraph"/>
              <w:numPr>
                <w:ilvl w:val="0"/>
                <w:numId w:val="8"/>
              </w:numPr>
            </w:pPr>
            <w:r>
              <w:t xml:space="preserve">Witness bullying, targeted harassment or </w:t>
            </w:r>
            <w:r w:rsidR="00234D67">
              <w:t>a hate crime;</w:t>
            </w:r>
          </w:p>
          <w:p w:rsidR="00930949" w:rsidP="00930949" w:rsidRDefault="5BAE77DC" w14:paraId="7F4C8CFA" w14:textId="1600E864">
            <w:pPr>
              <w:pStyle w:val="ListParagraph"/>
              <w:numPr>
                <w:ilvl w:val="0"/>
                <w:numId w:val="8"/>
              </w:numPr>
            </w:pPr>
            <w:r>
              <w:t>Someone promoting extremist views in person or on social media;</w:t>
            </w:r>
          </w:p>
          <w:p w:rsidR="00660E4A" w:rsidP="003717B8" w:rsidRDefault="5BAE77DC" w14:paraId="1DE89915" w14:textId="44DD97E7">
            <w:pPr>
              <w:pStyle w:val="ListParagraph"/>
              <w:numPr>
                <w:ilvl w:val="0"/>
                <w:numId w:val="8"/>
              </w:numPr>
            </w:pPr>
            <w:r>
              <w:t xml:space="preserve">Possession or accessing illegal material (e.g. from proscribed organisations, child pornography etc.)  </w:t>
            </w:r>
          </w:p>
          <w:p w:rsidR="5BAE77DC" w:rsidP="5BAE77DC" w:rsidRDefault="5BAE77DC" w14:paraId="45E19392" w14:textId="0BA07C5C"/>
          <w:p w:rsidR="5BAE77DC" w:rsidP="5BAE77DC" w:rsidRDefault="5BAE77DC" w14:paraId="470D2F6A" w14:textId="2FCF24BF">
            <w:r>
              <w:lastRenderedPageBreak/>
              <w:t>It is worth noting that ‘extremism’ covers a broad spectrum of beliefs, which may include far-left, far-right, environmental, pro-life, Daesh, anti-vivisection etc. Not all ‘extreme’ views are illegal, however, and it is only concerning when someone is at risk of committing violence or illegal activity.</w:t>
            </w:r>
          </w:p>
          <w:p w:rsidRPr="007B0B83" w:rsidR="00BB00C8" w:rsidP="009F17F4" w:rsidRDefault="00BB00C8" w14:paraId="7EA722D1" w14:textId="7222683F"/>
        </w:tc>
      </w:tr>
      <w:tr w:rsidR="00DE690B" w:rsidTr="5BAE77DC" w14:paraId="58A0FE48" w14:textId="77777777">
        <w:tc>
          <w:tcPr>
            <w:tcW w:w="9016" w:type="dxa"/>
            <w:gridSpan w:val="2"/>
          </w:tcPr>
          <w:p w:rsidR="003717B8" w:rsidP="003717B8" w:rsidRDefault="5BAE77DC" w14:paraId="40DE5E19" w14:textId="508EE584">
            <w:r>
              <w:lastRenderedPageBreak/>
              <w:t xml:space="preserve">For students, there may be specific concerns that indicate things ‘aren’t right’. These include (but </w:t>
            </w:r>
            <w:r w:rsidR="006E4E56">
              <w:t xml:space="preserve">are </w:t>
            </w:r>
            <w:r>
              <w:t xml:space="preserve">not limited to): </w:t>
            </w:r>
          </w:p>
          <w:p w:rsidR="003717B8" w:rsidP="003717B8" w:rsidRDefault="003717B8" w14:paraId="2DCCAE83" w14:textId="77777777"/>
          <w:p w:rsidR="003717B8" w:rsidP="003717B8" w:rsidRDefault="003717B8" w14:paraId="204FB1BB" w14:textId="77777777">
            <w:pPr>
              <w:pStyle w:val="ListParagraph"/>
              <w:numPr>
                <w:ilvl w:val="0"/>
                <w:numId w:val="4"/>
              </w:numPr>
            </w:pPr>
            <w:r>
              <w:t>Not engaging with academic work;</w:t>
            </w:r>
          </w:p>
          <w:p w:rsidR="003717B8" w:rsidP="003717B8" w:rsidRDefault="003717B8" w14:paraId="2C621A1E" w14:textId="77777777">
            <w:pPr>
              <w:pStyle w:val="ListParagraph"/>
              <w:numPr>
                <w:ilvl w:val="0"/>
                <w:numId w:val="4"/>
              </w:numPr>
            </w:pPr>
            <w:r>
              <w:t>Not responding to communications;</w:t>
            </w:r>
          </w:p>
          <w:p w:rsidR="003717B8" w:rsidP="003717B8" w:rsidRDefault="003717B8" w14:paraId="4A90B9CE" w14:textId="77777777">
            <w:pPr>
              <w:pStyle w:val="ListParagraph"/>
              <w:numPr>
                <w:ilvl w:val="0"/>
                <w:numId w:val="4"/>
              </w:numPr>
            </w:pPr>
            <w:r>
              <w:t>Not paying rent, fines or fees;</w:t>
            </w:r>
          </w:p>
          <w:p w:rsidR="003717B8" w:rsidP="003717B8" w:rsidRDefault="003717B8" w14:paraId="2D34E390" w14:textId="0D383C40">
            <w:pPr>
              <w:pStyle w:val="ListParagraph"/>
              <w:numPr>
                <w:ilvl w:val="0"/>
                <w:numId w:val="4"/>
              </w:numPr>
            </w:pPr>
            <w:r>
              <w:t>Disciplinary or academic misconduct proceedings;</w:t>
            </w:r>
          </w:p>
          <w:p w:rsidR="009F0040" w:rsidP="003717B8" w:rsidRDefault="5BAE77DC" w14:paraId="416C13F4" w14:textId="7D4E38BD">
            <w:pPr>
              <w:pStyle w:val="ListParagraph"/>
              <w:numPr>
                <w:ilvl w:val="0"/>
                <w:numId w:val="4"/>
              </w:numPr>
            </w:pPr>
            <w:r>
              <w:t>Not engaging with other students/ staff or local community.</w:t>
            </w:r>
          </w:p>
          <w:p w:rsidR="00D92D41" w:rsidP="5BAE77DC" w:rsidRDefault="00D92D41" w14:paraId="50ACB8BE" w14:textId="024C4BA4">
            <w:pPr>
              <w:rPr>
                <w:b/>
              </w:rPr>
            </w:pPr>
          </w:p>
          <w:p w:rsidRPr="009F0040" w:rsidR="009F0040" w:rsidP="009F0040" w:rsidRDefault="009F0040" w14:paraId="753A4CCB" w14:textId="7A52AC66">
            <w:pPr>
              <w:rPr>
                <w:b/>
              </w:rPr>
            </w:pPr>
          </w:p>
        </w:tc>
      </w:tr>
    </w:tbl>
    <w:p w:rsidR="005F617E" w:rsidRDefault="005F617E" w14:paraId="1624407A" w14:textId="1681FDE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33C45" w:rsidTr="00161096" w14:paraId="723AA2AF" w14:textId="77777777">
        <w:tc>
          <w:tcPr>
            <w:tcW w:w="2122" w:type="dxa"/>
          </w:tcPr>
          <w:p w:rsidR="00F33C45" w:rsidRDefault="00F33C45" w14:paraId="74641530" w14:textId="77777777">
            <w:pPr>
              <w:rPr>
                <w:b/>
                <w:sz w:val="28"/>
              </w:rPr>
            </w:pPr>
            <w:r w:rsidRPr="00BE34BC">
              <w:rPr>
                <w:rFonts w:ascii="Segoe UI Symbol" w:hAnsi="Segoe UI Symbol"/>
                <w:b/>
                <w:sz w:val="28"/>
              </w:rPr>
              <w:t>✔</w:t>
            </w:r>
            <w:r w:rsidRPr="00BE34B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CHECK</w:t>
            </w:r>
          </w:p>
          <w:p w:rsidR="00F33C45" w:rsidRDefault="00F33C45" w14:paraId="6E7C6F1D" w14:textId="68CF5105">
            <w:pPr>
              <w:rPr>
                <w:b/>
              </w:rPr>
            </w:pPr>
          </w:p>
        </w:tc>
        <w:tc>
          <w:tcPr>
            <w:tcW w:w="6894" w:type="dxa"/>
          </w:tcPr>
          <w:p w:rsidRPr="00F33C45" w:rsidR="00F33C45" w:rsidRDefault="00161096" w14:paraId="36BFAC1D" w14:textId="73317CBF">
            <w:pPr>
              <w:rPr>
                <w:i/>
              </w:rPr>
            </w:pPr>
            <w:r>
              <w:rPr>
                <w:i/>
              </w:rPr>
              <w:t>Question and share your concerns with other staff members…</w:t>
            </w:r>
          </w:p>
        </w:tc>
      </w:tr>
      <w:tr w:rsidR="00161096" w:rsidTr="00C9068C" w14:paraId="20328396" w14:textId="77777777">
        <w:tc>
          <w:tcPr>
            <w:tcW w:w="9016" w:type="dxa"/>
            <w:gridSpan w:val="2"/>
          </w:tcPr>
          <w:p w:rsidRPr="006A7684" w:rsidR="00161096" w:rsidRDefault="00A32AF7" w14:paraId="25E9A3A5" w14:textId="57FF80AD">
            <w:r>
              <w:t>Could</w:t>
            </w:r>
            <w:r w:rsidRPr="006A7684" w:rsidR="006E72CB">
              <w:t xml:space="preserve"> these changes</w:t>
            </w:r>
            <w:r>
              <w:t xml:space="preserve"> be</w:t>
            </w:r>
            <w:r w:rsidRPr="006A7684" w:rsidR="006E72CB">
              <w:t xml:space="preserve"> linked to </w:t>
            </w:r>
            <w:r w:rsidRPr="006A7684" w:rsidR="006A7684">
              <w:t>other</w:t>
            </w:r>
            <w:r>
              <w:t xml:space="preserve"> underlying</w:t>
            </w:r>
            <w:r w:rsidRPr="006A7684" w:rsidR="006A7684">
              <w:t xml:space="preserve"> iss</w:t>
            </w:r>
            <w:r w:rsidR="006A7684">
              <w:t>ues?</w:t>
            </w:r>
          </w:p>
          <w:p w:rsidR="006A7684" w:rsidRDefault="006A7684" w14:paraId="1F5BCF75" w14:textId="346871FC">
            <w:pPr>
              <w:rPr>
                <w:b/>
              </w:rPr>
            </w:pPr>
          </w:p>
        </w:tc>
      </w:tr>
    </w:tbl>
    <w:p w:rsidR="00F33C45" w:rsidRDefault="00F33C45" w14:paraId="13F52E27" w14:textId="16D566C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161096" w:rsidTr="00DD29F2" w14:paraId="5F5A0FB8" w14:textId="77777777">
        <w:trPr>
          <w:trHeight w:val="526"/>
        </w:trPr>
        <w:tc>
          <w:tcPr>
            <w:tcW w:w="2122" w:type="dxa"/>
          </w:tcPr>
          <w:p w:rsidR="00161096" w:rsidP="00161096" w:rsidRDefault="00161096" w14:paraId="0F7F3572" w14:textId="411248D2">
            <w:pPr>
              <w:rPr>
                <w:b/>
                <w:sz w:val="28"/>
              </w:rPr>
            </w:pPr>
            <w:r w:rsidRPr="00BE34BC">
              <w:rPr>
                <w:rFonts w:ascii="Segoe UI Symbol" w:hAnsi="Segoe UI Symbol"/>
                <w:b/>
                <w:sz w:val="28"/>
              </w:rPr>
              <w:t>✔</w:t>
            </w:r>
            <w:r w:rsidRPr="00BE34B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SHARE</w:t>
            </w:r>
          </w:p>
          <w:p w:rsidR="00161096" w:rsidRDefault="00161096" w14:paraId="78E2886A" w14:textId="77777777">
            <w:pPr>
              <w:rPr>
                <w:b/>
              </w:rPr>
            </w:pPr>
          </w:p>
        </w:tc>
        <w:tc>
          <w:tcPr>
            <w:tcW w:w="6894" w:type="dxa"/>
          </w:tcPr>
          <w:p w:rsidRPr="00161096" w:rsidR="00161096" w:rsidRDefault="00161096" w14:paraId="259850A2" w14:textId="57F17705">
            <w:pPr>
              <w:rPr>
                <w:i/>
              </w:rPr>
            </w:pPr>
            <w:r>
              <w:rPr>
                <w:i/>
              </w:rPr>
              <w:t>Report any genuinely held concerns as soon as possible</w:t>
            </w:r>
          </w:p>
        </w:tc>
      </w:tr>
    </w:tbl>
    <w:p w:rsidR="006E4E56" w:rsidRDefault="006E4E56" w14:paraId="77BFE14E" w14:textId="777777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161096" w:rsidTr="00C3770F" w14:paraId="6BB39DD6" w14:textId="77777777">
        <w:tc>
          <w:tcPr>
            <w:tcW w:w="9016" w:type="dxa"/>
            <w:gridSpan w:val="2"/>
          </w:tcPr>
          <w:p w:rsidR="00553D05" w:rsidP="00553D05" w:rsidRDefault="00F92D32" w14:paraId="3E8B765D" w14:textId="147C1860">
            <w:r>
              <w:rPr>
                <w:b/>
              </w:rPr>
              <w:lastRenderedPageBreak/>
              <w:t>YOU SHOULD NEVER</w:t>
            </w:r>
            <w:r w:rsidRPr="00DD29F2" w:rsidR="00153A01">
              <w:rPr>
                <w:b/>
              </w:rPr>
              <w:t xml:space="preserve"> INVESTIGATE</w:t>
            </w:r>
            <w:r>
              <w:rPr>
                <w:b/>
              </w:rPr>
              <w:t xml:space="preserve"> THE ISSUE YOURSELF</w:t>
            </w:r>
            <w:r w:rsidR="00DD29F2">
              <w:rPr>
                <w:b/>
              </w:rPr>
              <w:t xml:space="preserve">. </w:t>
            </w:r>
            <w:r w:rsidR="00DD29F2">
              <w:t xml:space="preserve">If you have genuine concerns about an </w:t>
            </w:r>
            <w:r w:rsidR="003D4439">
              <w:t>individual</w:t>
            </w:r>
            <w:r w:rsidR="00DD29F2">
              <w:t xml:space="preserve">, </w:t>
            </w:r>
            <w:r w:rsidR="003D4439">
              <w:t>you should pass this information on to the relevant authorities</w:t>
            </w:r>
            <w:r w:rsidR="006A75C1">
              <w:t>.</w:t>
            </w:r>
            <w:r w:rsidR="00553D05">
              <w:t xml:space="preserve"> </w:t>
            </w:r>
            <w:r w:rsidRPr="00440694" w:rsidR="00553D05">
              <w:rPr>
                <w:b/>
              </w:rPr>
              <w:t>Always</w:t>
            </w:r>
            <w:r w:rsidR="00553D05">
              <w:t xml:space="preserve"> notify the Principle Safeguarding Officer, and Safeguarding Officer as soon as possible.</w:t>
            </w:r>
          </w:p>
          <w:p w:rsidR="006F4234" w:rsidP="00553D05" w:rsidRDefault="006F4234" w14:paraId="520A7B6D" w14:textId="772DEA59"/>
          <w:p w:rsidR="006F4234" w:rsidP="00553D05" w:rsidRDefault="006F4234" w14:paraId="37844BCC" w14:textId="36ED1D04">
            <w:r>
              <w:t>Make sure you complete the Safeguarding Reporting Proforma after each disclosure</w:t>
            </w:r>
            <w:r w:rsidR="004C10B9">
              <w:t xml:space="preserve"> and notify the relevant Head of School as appropriate.</w:t>
            </w:r>
          </w:p>
          <w:p w:rsidR="00B06E93" w:rsidRDefault="00B06E93" w14:paraId="32EC674C" w14:textId="3243A813"/>
          <w:p w:rsidRPr="00F92D32" w:rsidR="00B06E93" w:rsidRDefault="00B06E93" w14:paraId="6893B618" w14:textId="00E93A25">
            <w:pPr>
              <w:rPr>
                <w:b/>
                <w:u w:val="single"/>
              </w:rPr>
            </w:pPr>
            <w:r w:rsidRPr="00F92D32">
              <w:rPr>
                <w:b/>
                <w:u w:val="single"/>
              </w:rPr>
              <w:t>For Safeguarding Concerns</w:t>
            </w:r>
          </w:p>
          <w:p w:rsidR="006F3048" w:rsidRDefault="006F3048" w14:paraId="0E68459B" w14:textId="62D555AE">
            <w:pPr>
              <w:rPr>
                <w:b/>
              </w:rPr>
            </w:pPr>
          </w:p>
          <w:p w:rsidR="006F3048" w:rsidRDefault="006F3048" w14:paraId="2D44F11E" w14:textId="23C608DD">
            <w:pPr>
              <w:rPr>
                <w:b/>
              </w:rPr>
            </w:pPr>
            <w:r>
              <w:rPr>
                <w:b/>
              </w:rPr>
              <w:t>The Bridge</w:t>
            </w:r>
            <w:r w:rsidR="00A569C3">
              <w:rPr>
                <w:b/>
              </w:rPr>
              <w:t xml:space="preserve"> Partnershi</w:t>
            </w:r>
            <w:r w:rsidR="00C84AD4">
              <w:rPr>
                <w:b/>
              </w:rPr>
              <w:t>p</w:t>
            </w:r>
            <w:r w:rsidR="006E45F5">
              <w:rPr>
                <w:b/>
              </w:rPr>
              <w:t xml:space="preserve"> (</w:t>
            </w:r>
            <w:r w:rsidR="006E4E56">
              <w:rPr>
                <w:b/>
              </w:rPr>
              <w:t xml:space="preserve">Age of person you are concerned about: </w:t>
            </w:r>
            <w:r w:rsidR="006E45F5">
              <w:rPr>
                <w:b/>
              </w:rPr>
              <w:t>0-25)</w:t>
            </w:r>
          </w:p>
          <w:p w:rsidR="00A569C3" w:rsidRDefault="00C84AD4" w14:paraId="5C408020" w14:textId="4CEC4148">
            <w:r>
              <w:t>Telephone: 0161 603 4500 (from 8.30am to 4.30pm</w:t>
            </w:r>
            <w:r w:rsidR="00251B83">
              <w:t xml:space="preserve"> Mon-Fri</w:t>
            </w:r>
            <w:r>
              <w:t xml:space="preserve">). If you need to speak to someone outside these hours, please call the </w:t>
            </w:r>
            <w:r w:rsidR="000D7E8F">
              <w:t>Emergency Duty Team on 0161 794 8888.</w:t>
            </w:r>
          </w:p>
          <w:p w:rsidR="006F4234" w:rsidRDefault="006F4234" w14:paraId="0B506490" w14:textId="262EAB74"/>
          <w:p w:rsidR="006F4234" w:rsidRDefault="006F4234" w14:paraId="67743686" w14:textId="0748F217">
            <w:pPr>
              <w:rPr>
                <w:b/>
              </w:rPr>
            </w:pPr>
            <w:r w:rsidRPr="006E45F5">
              <w:rPr>
                <w:b/>
              </w:rPr>
              <w:t xml:space="preserve">Salford </w:t>
            </w:r>
            <w:r w:rsidRPr="006E45F5" w:rsidR="006E45F5">
              <w:rPr>
                <w:b/>
              </w:rPr>
              <w:t>Social Services (</w:t>
            </w:r>
            <w:r w:rsidR="006E4E56">
              <w:rPr>
                <w:b/>
              </w:rPr>
              <w:t xml:space="preserve">Age of person you are concerned about: </w:t>
            </w:r>
            <w:r w:rsidRPr="006E45F5" w:rsidR="006E45F5">
              <w:rPr>
                <w:b/>
              </w:rPr>
              <w:t>25+)</w:t>
            </w:r>
          </w:p>
          <w:p w:rsidRPr="008458DC" w:rsidR="008458DC" w:rsidP="008458DC" w:rsidRDefault="008458DC" w14:paraId="492489E3" w14:textId="3021063E">
            <w:r>
              <w:t xml:space="preserve">Telephone: 0161 </w:t>
            </w:r>
            <w:r w:rsidRPr="008458DC">
              <w:t>631 4777</w:t>
            </w:r>
            <w:r>
              <w:t xml:space="preserve"> (</w:t>
            </w:r>
            <w:r w:rsidR="00251B83">
              <w:t xml:space="preserve">from </w:t>
            </w:r>
            <w:r>
              <w:t>8.30am-4.30pm</w:t>
            </w:r>
            <w:r w:rsidR="00251B83">
              <w:t xml:space="preserve"> Mon-Fri</w:t>
            </w:r>
            <w:r>
              <w:t xml:space="preserve">) </w:t>
            </w:r>
            <w:r w:rsidRPr="008458DC">
              <w:t>Email: </w:t>
            </w:r>
            <w:r w:rsidRPr="00251B83">
              <w:t>social.services@salford.gov.uk</w:t>
            </w:r>
            <w:r>
              <w:t>. If you need to speak to someone outside these hours, please call the Emergency Duty Team</w:t>
            </w:r>
            <w:r w:rsidR="00251B83">
              <w:t xml:space="preserve"> on </w:t>
            </w:r>
            <w:r w:rsidRPr="00251B83" w:rsidR="00251B83">
              <w:t>0161 794 8888</w:t>
            </w:r>
          </w:p>
          <w:p w:rsidR="00DD29F2" w:rsidRDefault="00DD29F2" w14:paraId="462B749E" w14:textId="2869008F"/>
          <w:p w:rsidRPr="006A75C1" w:rsidR="00DD29F2" w:rsidRDefault="00DD29F2" w14:paraId="179BE52C" w14:textId="37F5C761">
            <w:pPr>
              <w:rPr>
                <w:b/>
                <w:u w:val="single"/>
              </w:rPr>
            </w:pPr>
            <w:r w:rsidRPr="006A75C1">
              <w:rPr>
                <w:b/>
                <w:u w:val="single"/>
              </w:rPr>
              <w:t>For Prevent Concerns</w:t>
            </w:r>
          </w:p>
          <w:p w:rsidR="00B06E93" w:rsidRDefault="00B06E93" w14:paraId="6AEEB053" w14:textId="455CC984">
            <w:pPr>
              <w:rPr>
                <w:b/>
              </w:rPr>
            </w:pPr>
          </w:p>
          <w:p w:rsidRPr="00553D05" w:rsidR="006A75C1" w:rsidRDefault="00553D05" w14:paraId="13ABAC57" w14:textId="62E0D863">
            <w:r w:rsidRPr="00553D05">
              <w:t>Referrals to Salford Channel should be made via the Prevent Task Group:</w:t>
            </w:r>
          </w:p>
          <w:p w:rsidRPr="00553D05" w:rsidR="00553D05" w:rsidRDefault="00553D05" w14:paraId="66DA38F6" w14:textId="60F813CB">
            <w:r w:rsidRPr="00553D05">
              <w:t>safeguarding@salford.ac.uk</w:t>
            </w:r>
          </w:p>
          <w:p w:rsidR="003D4439" w:rsidRDefault="003D4439" w14:paraId="49C077CA" w14:textId="790B0F05"/>
          <w:p w:rsidRPr="00AD641F" w:rsidR="00440694" w:rsidRDefault="00440694" w14:paraId="384C31BF" w14:textId="6DD7A64A">
            <w:pPr>
              <w:rPr>
                <w:b/>
                <w:u w:val="single"/>
              </w:rPr>
            </w:pPr>
            <w:r w:rsidRPr="00AD641F">
              <w:rPr>
                <w:b/>
                <w:u w:val="single"/>
              </w:rPr>
              <w:t>For Wellbeing Concerns:</w:t>
            </w:r>
          </w:p>
          <w:p w:rsidR="00440694" w:rsidRDefault="00440694" w14:paraId="05135AD3" w14:textId="52900088"/>
          <w:p w:rsidR="00440694" w:rsidRDefault="00EA6ED5" w14:paraId="79713DDD" w14:textId="72EB6B32">
            <w:r>
              <w:t>If you identify further wellbeing concerns, or think the student may need more support, you can contact the Counselling and Wellbeing Service</w:t>
            </w:r>
            <w:r w:rsidR="00257F58">
              <w:t>:</w:t>
            </w:r>
            <w:r>
              <w:t xml:space="preserve"> </w:t>
            </w:r>
            <w:r w:rsidRPr="00257F58" w:rsidR="00257F58">
              <w:t>0161 295 0023 available 9-5 Monday to Friday</w:t>
            </w:r>
          </w:p>
          <w:p w:rsidR="00FB772D" w:rsidRDefault="00FB772D" w14:paraId="2F6718A5" w14:textId="2ADAA817"/>
          <w:p w:rsidRPr="00161096" w:rsidR="00B06E93" w:rsidP="00FB772D" w:rsidRDefault="00B06E93" w14:paraId="09A074F5" w14:textId="5BAECD6A"/>
        </w:tc>
      </w:tr>
      <w:tr w:rsidR="003D4439" w:rsidTr="003D4439" w14:paraId="2839801E" w14:textId="655A838C">
        <w:tc>
          <w:tcPr>
            <w:tcW w:w="3539" w:type="dxa"/>
          </w:tcPr>
          <w:p w:rsidRPr="00B06E93" w:rsidR="003D4439" w:rsidP="00B06E93" w:rsidRDefault="003D4439" w14:paraId="44345F51" w14:textId="48357666">
            <w:pPr>
              <w:rPr>
                <w:b/>
              </w:rPr>
            </w:pPr>
            <w:r w:rsidRPr="00B06E93">
              <w:rPr>
                <w:b/>
              </w:rPr>
              <w:t>Principle Safeguarding Officer</w:t>
            </w:r>
          </w:p>
        </w:tc>
        <w:tc>
          <w:tcPr>
            <w:tcW w:w="5477" w:type="dxa"/>
          </w:tcPr>
          <w:p w:rsidRPr="00B06E93" w:rsidR="003D4439" w:rsidP="00B06E93" w:rsidRDefault="003D4439" w14:paraId="7CA11BF0" w14:textId="77777777">
            <w:pPr>
              <w:rPr>
                <w:b/>
              </w:rPr>
            </w:pPr>
            <w:r w:rsidRPr="00B06E93">
              <w:rPr>
                <w:b/>
              </w:rPr>
              <w:t>Andrew Hartley</w:t>
            </w:r>
          </w:p>
          <w:p w:rsidRPr="00B06E93" w:rsidR="00B06E93" w:rsidP="00B06E93" w:rsidRDefault="00B06E93" w14:paraId="5C758519" w14:textId="377DB4DA">
            <w:r w:rsidRPr="00B06E93">
              <w:t>a.hartley2@salford.ac.uk</w:t>
            </w:r>
          </w:p>
        </w:tc>
      </w:tr>
      <w:tr w:rsidR="003D4439" w:rsidTr="003D4439" w14:paraId="0EA2ACD6" w14:textId="77777777">
        <w:tc>
          <w:tcPr>
            <w:tcW w:w="3539" w:type="dxa"/>
          </w:tcPr>
          <w:p w:rsidRPr="00B06E93" w:rsidR="003D4439" w:rsidRDefault="003D4439" w14:paraId="1D8BDAFB" w14:textId="091BACB9">
            <w:pPr>
              <w:rPr>
                <w:b/>
              </w:rPr>
            </w:pPr>
            <w:r w:rsidRPr="00B06E93">
              <w:rPr>
                <w:b/>
              </w:rPr>
              <w:t>Safeguarding Officer</w:t>
            </w:r>
          </w:p>
        </w:tc>
        <w:tc>
          <w:tcPr>
            <w:tcW w:w="5477" w:type="dxa"/>
          </w:tcPr>
          <w:p w:rsidR="003D4439" w:rsidRDefault="00B06E93" w14:paraId="78F12358" w14:textId="77777777">
            <w:pPr>
              <w:rPr>
                <w:b/>
              </w:rPr>
            </w:pPr>
            <w:r>
              <w:rPr>
                <w:b/>
              </w:rPr>
              <w:t>Dr. Diane Atherton-Blenkiron</w:t>
            </w:r>
          </w:p>
          <w:p w:rsidRPr="00B06E93" w:rsidR="00B06E93" w:rsidRDefault="00B06E93" w14:paraId="195C8D3A" w14:textId="6493C6AA">
            <w:r>
              <w:t>d.l.atherton-blenkiron@salford.ac.uk</w:t>
            </w:r>
          </w:p>
        </w:tc>
      </w:tr>
    </w:tbl>
    <w:p w:rsidRPr="00073136" w:rsidR="00161096" w:rsidRDefault="00161096" w14:paraId="13D5359E" w14:textId="77777777">
      <w:pPr>
        <w:rPr>
          <w:b/>
        </w:rPr>
      </w:pPr>
    </w:p>
    <w:sectPr w:rsidRPr="00073136" w:rsidR="00161096">
      <w:headerReference w:type="default" r:id="rId7"/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C1B" w:rsidP="00885238" w:rsidRDefault="00004C1B" w14:paraId="3D4D87FE" w14:textId="77777777">
      <w:pPr>
        <w:spacing w:after="0" w:line="240" w:lineRule="auto"/>
      </w:pPr>
      <w:r>
        <w:separator/>
      </w:r>
    </w:p>
  </w:endnote>
  <w:endnote w:type="continuationSeparator" w:id="0">
    <w:p w:rsidR="00004C1B" w:rsidP="00885238" w:rsidRDefault="00004C1B" w14:paraId="24B6359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DFD" w:rsidRDefault="004F4DFD" w14:paraId="0C4A1A68" w14:textId="52ABC215">
    <w:pPr>
      <w:pStyle w:val="Footer"/>
    </w:pPr>
    <w:r>
      <w:t>Version 1</w:t>
    </w:r>
  </w:p>
  <w:p w:rsidR="004F4DFD" w:rsidRDefault="004F4DFD" w14:paraId="63A2764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C1B" w:rsidP="00885238" w:rsidRDefault="00004C1B" w14:paraId="6B3E093D" w14:textId="77777777">
      <w:pPr>
        <w:spacing w:after="0" w:line="240" w:lineRule="auto"/>
      </w:pPr>
      <w:r>
        <w:separator/>
      </w:r>
    </w:p>
  </w:footnote>
  <w:footnote w:type="continuationSeparator" w:id="0">
    <w:p w:rsidR="00004C1B" w:rsidP="00885238" w:rsidRDefault="00004C1B" w14:paraId="6FF247E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885238" w:rsidRDefault="00885238" w14:paraId="2FC39CDA" w14:textId="138B07B3">
    <w:pPr>
      <w:pStyle w:val="Header"/>
    </w:pPr>
    <w:r w:rsidRPr="00885238">
      <w:rPr>
        <w:noProof/>
      </w:rPr>
      <w:drawing>
        <wp:anchor distT="0" distB="0" distL="114300" distR="114300" simplePos="0" relativeHeight="251659264" behindDoc="1" locked="0" layoutInCell="1" allowOverlap="1" wp14:anchorId="57B3256F" wp14:editId="55352B4E">
          <wp:simplePos x="0" y="0"/>
          <wp:positionH relativeFrom="margin">
            <wp:posOffset>4599940</wp:posOffset>
          </wp:positionH>
          <wp:positionV relativeFrom="paragraph">
            <wp:posOffset>-221615</wp:posOffset>
          </wp:positionV>
          <wp:extent cx="1781175" cy="889635"/>
          <wp:effectExtent l="0" t="0" r="9525" b="5715"/>
          <wp:wrapTight wrapText="bothSides">
            <wp:wrapPolygon edited="0">
              <wp:start x="0" y="0"/>
              <wp:lineTo x="0" y="21276"/>
              <wp:lineTo x="21484" y="21276"/>
              <wp:lineTo x="2148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88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3241"/>
    <w:multiLevelType w:val="hybridMultilevel"/>
    <w:tmpl w:val="6582A3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40700D"/>
    <w:multiLevelType w:val="hybridMultilevel"/>
    <w:tmpl w:val="0B029A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6C6827"/>
    <w:multiLevelType w:val="hybridMultilevel"/>
    <w:tmpl w:val="4A8AD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97F51"/>
    <w:multiLevelType w:val="hybridMultilevel"/>
    <w:tmpl w:val="2500E3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F153353"/>
    <w:multiLevelType w:val="hybridMultilevel"/>
    <w:tmpl w:val="454E33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1E274E1"/>
    <w:multiLevelType w:val="multilevel"/>
    <w:tmpl w:val="6DC8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2F40685"/>
    <w:multiLevelType w:val="hybridMultilevel"/>
    <w:tmpl w:val="D8B6496C"/>
    <w:lvl w:ilvl="0" w:tplc="76A0439A">
      <w:start w:val="2"/>
      <w:numFmt w:val="bullet"/>
      <w:lvlText w:val="-"/>
      <w:lvlJc w:val="left"/>
      <w:pPr>
        <w:ind w:left="1778" w:hanging="360"/>
      </w:pPr>
      <w:rPr>
        <w:rFonts w:hint="default" w:ascii="Arial" w:hAnsi="Arial" w:cs="Arial" w:eastAsiaTheme="minorEastAsia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hint="default" w:ascii="Wingdings" w:hAnsi="Wingdings"/>
      </w:rPr>
    </w:lvl>
  </w:abstractNum>
  <w:abstractNum w:abstractNumId="7" w15:restartNumberingAfterBreak="0">
    <w:nsid w:val="371E34C7"/>
    <w:multiLevelType w:val="hybridMultilevel"/>
    <w:tmpl w:val="078E13FA"/>
    <w:lvl w:ilvl="0" w:tplc="0B5C227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4BB0ECC"/>
    <w:multiLevelType w:val="hybridMultilevel"/>
    <w:tmpl w:val="D5CC90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8381249"/>
    <w:multiLevelType w:val="hybridMultilevel"/>
    <w:tmpl w:val="6E309E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8480FAA"/>
    <w:multiLevelType w:val="hybridMultilevel"/>
    <w:tmpl w:val="57106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87991"/>
    <w:multiLevelType w:val="hybridMultilevel"/>
    <w:tmpl w:val="FCD057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25C23A9"/>
    <w:multiLevelType w:val="hybridMultilevel"/>
    <w:tmpl w:val="2BC8E17E"/>
    <w:lvl w:ilvl="0" w:tplc="6D4EA63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2FF1B82"/>
    <w:multiLevelType w:val="hybridMultilevel"/>
    <w:tmpl w:val="11ECE3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9"/>
  </w:num>
  <w:num w:numId="5">
    <w:abstractNumId w:val="13"/>
  </w:num>
  <w:num w:numId="6">
    <w:abstractNumId w:val="8"/>
  </w:num>
  <w:num w:numId="7">
    <w:abstractNumId w:val="11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  <w:num w:numId="12">
    <w:abstractNumId w:val="6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B6"/>
    <w:rsid w:val="000049FA"/>
    <w:rsid w:val="00004C1B"/>
    <w:rsid w:val="0001514E"/>
    <w:rsid w:val="000203A8"/>
    <w:rsid w:val="00073136"/>
    <w:rsid w:val="000A244A"/>
    <w:rsid w:val="000D0642"/>
    <w:rsid w:val="000D0B2B"/>
    <w:rsid w:val="000D7E8F"/>
    <w:rsid w:val="000F0E9B"/>
    <w:rsid w:val="001021F4"/>
    <w:rsid w:val="0010339B"/>
    <w:rsid w:val="001267FD"/>
    <w:rsid w:val="00153A01"/>
    <w:rsid w:val="00161096"/>
    <w:rsid w:val="001B578E"/>
    <w:rsid w:val="00234787"/>
    <w:rsid w:val="00234D67"/>
    <w:rsid w:val="00251B83"/>
    <w:rsid w:val="00257F58"/>
    <w:rsid w:val="002B0019"/>
    <w:rsid w:val="002B171C"/>
    <w:rsid w:val="003374FC"/>
    <w:rsid w:val="00362765"/>
    <w:rsid w:val="003717B8"/>
    <w:rsid w:val="00373048"/>
    <w:rsid w:val="003D0A50"/>
    <w:rsid w:val="003D4439"/>
    <w:rsid w:val="00435856"/>
    <w:rsid w:val="00436C84"/>
    <w:rsid w:val="00440694"/>
    <w:rsid w:val="00457264"/>
    <w:rsid w:val="00464D11"/>
    <w:rsid w:val="004777E6"/>
    <w:rsid w:val="004848CB"/>
    <w:rsid w:val="004973C8"/>
    <w:rsid w:val="004A5AB8"/>
    <w:rsid w:val="004C10B9"/>
    <w:rsid w:val="004E41A9"/>
    <w:rsid w:val="004F4253"/>
    <w:rsid w:val="004F4DFD"/>
    <w:rsid w:val="00506C1A"/>
    <w:rsid w:val="00532E1D"/>
    <w:rsid w:val="00553D05"/>
    <w:rsid w:val="00594397"/>
    <w:rsid w:val="005B2750"/>
    <w:rsid w:val="005B53D5"/>
    <w:rsid w:val="005D2F40"/>
    <w:rsid w:val="005F26E9"/>
    <w:rsid w:val="005F617E"/>
    <w:rsid w:val="00660E4A"/>
    <w:rsid w:val="0067468D"/>
    <w:rsid w:val="0069705A"/>
    <w:rsid w:val="006A75C1"/>
    <w:rsid w:val="006A7684"/>
    <w:rsid w:val="006C48C9"/>
    <w:rsid w:val="006D4F22"/>
    <w:rsid w:val="006E45F5"/>
    <w:rsid w:val="006E4E56"/>
    <w:rsid w:val="006E72CB"/>
    <w:rsid w:val="006F3048"/>
    <w:rsid w:val="006F4234"/>
    <w:rsid w:val="0070413D"/>
    <w:rsid w:val="00717349"/>
    <w:rsid w:val="00792302"/>
    <w:rsid w:val="007B0B83"/>
    <w:rsid w:val="007B632E"/>
    <w:rsid w:val="007C06FB"/>
    <w:rsid w:val="007E00BC"/>
    <w:rsid w:val="007E54AD"/>
    <w:rsid w:val="00805C10"/>
    <w:rsid w:val="008458DC"/>
    <w:rsid w:val="00885238"/>
    <w:rsid w:val="008C1876"/>
    <w:rsid w:val="008C5A77"/>
    <w:rsid w:val="00927283"/>
    <w:rsid w:val="00930949"/>
    <w:rsid w:val="009362CD"/>
    <w:rsid w:val="009F0040"/>
    <w:rsid w:val="009F17F4"/>
    <w:rsid w:val="00A32AF7"/>
    <w:rsid w:val="00A569C3"/>
    <w:rsid w:val="00A877FA"/>
    <w:rsid w:val="00AA6C42"/>
    <w:rsid w:val="00AD23B6"/>
    <w:rsid w:val="00AD641F"/>
    <w:rsid w:val="00AE4AEB"/>
    <w:rsid w:val="00AF15F8"/>
    <w:rsid w:val="00B06E93"/>
    <w:rsid w:val="00BB00C8"/>
    <w:rsid w:val="00BB7361"/>
    <w:rsid w:val="00BD79E3"/>
    <w:rsid w:val="00BE34BC"/>
    <w:rsid w:val="00C05F0C"/>
    <w:rsid w:val="00C10B3D"/>
    <w:rsid w:val="00C14847"/>
    <w:rsid w:val="00C20D06"/>
    <w:rsid w:val="00C55C89"/>
    <w:rsid w:val="00C6284C"/>
    <w:rsid w:val="00C6435D"/>
    <w:rsid w:val="00C76696"/>
    <w:rsid w:val="00C84AD4"/>
    <w:rsid w:val="00CC4CCA"/>
    <w:rsid w:val="00D50D85"/>
    <w:rsid w:val="00D528EE"/>
    <w:rsid w:val="00D67EEE"/>
    <w:rsid w:val="00D86C3D"/>
    <w:rsid w:val="00D92D41"/>
    <w:rsid w:val="00DD0975"/>
    <w:rsid w:val="00DD29F2"/>
    <w:rsid w:val="00DE690B"/>
    <w:rsid w:val="00DF6523"/>
    <w:rsid w:val="00E330C8"/>
    <w:rsid w:val="00E85FB7"/>
    <w:rsid w:val="00EA1CA3"/>
    <w:rsid w:val="00EA6ED5"/>
    <w:rsid w:val="00EC334F"/>
    <w:rsid w:val="00F01DCB"/>
    <w:rsid w:val="00F055A0"/>
    <w:rsid w:val="00F33C45"/>
    <w:rsid w:val="00F92D32"/>
    <w:rsid w:val="00FB772D"/>
    <w:rsid w:val="00FD455A"/>
    <w:rsid w:val="00FD4F6C"/>
    <w:rsid w:val="00FF4C1C"/>
    <w:rsid w:val="5BAE77DC"/>
    <w:rsid w:val="78CCD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E4574D"/>
  <w15:chartTrackingRefBased/>
  <w15:docId w15:val="{49CB8420-A0D7-471F-9345-C9864861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C89"/>
    <w:pPr>
      <w:ind w:left="720"/>
      <w:contextualSpacing/>
    </w:pPr>
  </w:style>
  <w:style w:type="table" w:styleId="TableGrid">
    <w:name w:val="Table Grid"/>
    <w:basedOn w:val="TableNormal"/>
    <w:uiPriority w:val="39"/>
    <w:rsid w:val="005F61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8523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85238"/>
  </w:style>
  <w:style w:type="paragraph" w:styleId="Footer">
    <w:name w:val="footer"/>
    <w:basedOn w:val="Normal"/>
    <w:link w:val="FooterChar"/>
    <w:uiPriority w:val="99"/>
    <w:unhideWhenUsed/>
    <w:rsid w:val="0088523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85238"/>
  </w:style>
  <w:style w:type="paragraph" w:styleId="NoSpacing">
    <w:name w:val="No Spacing"/>
    <w:uiPriority w:val="1"/>
    <w:qFormat/>
    <w:rsid w:val="008C5A77"/>
    <w:pPr>
      <w:spacing w:after="0" w:line="240" w:lineRule="auto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8458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Atherton-Blenkiron Diane</dc:creator>
  <keywords/>
  <dc:description/>
  <lastModifiedBy>Atherton-Blenkiron Diane</lastModifiedBy>
  <revision>3</revision>
  <dcterms:created xsi:type="dcterms:W3CDTF">2019-03-25T14:02:00.0000000Z</dcterms:created>
  <dcterms:modified xsi:type="dcterms:W3CDTF">2019-03-28T09:19:03.7873291Z</dcterms:modified>
</coreProperties>
</file>